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9C1" w:rsidRDefault="003D09C1" w:rsidP="003D09C1">
      <w:pPr>
        <w:pStyle w:val="Heading1"/>
      </w:pPr>
      <w:bookmarkStart w:id="0" w:name="_GoBack"/>
      <w:bookmarkEnd w:id="0"/>
      <w:r>
        <w:t>Invitation and Brief summary</w:t>
      </w:r>
    </w:p>
    <w:p w:rsidR="003D09C1" w:rsidRDefault="003D09C1" w:rsidP="003D09C1">
      <w:r>
        <w:t>The Sprint National Anaesthesia Projects (SNAPs) are 'snapshot' evaluation studies of clinical activity and patient-centred outcomes that are important and relevant to both patients and anaesthetists. SNAP-1 was a two-day evaluation of patient reported outcomes after anaesthesia conducted in May 2014 and over 95% of NHS hospitals in all 4 devolved UK nations participated in that study.</w:t>
      </w:r>
    </w:p>
    <w:p w:rsidR="003D09C1" w:rsidRDefault="003D09C1" w:rsidP="003D09C1">
      <w:r>
        <w:t>We are now conducting the second SNAP research study (SNAP-2: EpiCCS) in hospitals throughout the UK, which will use patient information to help us improve care for people undergoing surgery in the future.</w:t>
      </w:r>
      <w:r w:rsidR="00154855">
        <w:t xml:space="preserve"> We would like to invite your hospital to take part.</w:t>
      </w:r>
      <w:r>
        <w:t xml:space="preserve"> SNAP-2: EpiCCS will describe the epidemiology of perioperative risk and outcome, and critical care referral and admission after inpatient surgery in the UK. It also aims to examine whether planned postoperative critical care admission is effective as an intervention to reduce postoperative morbidity</w:t>
      </w:r>
      <w:r w:rsidR="00417A51">
        <w:t>.</w:t>
      </w:r>
    </w:p>
    <w:p w:rsidR="003D09C1" w:rsidRDefault="003D09C1" w:rsidP="003D09C1">
      <w:r>
        <w:t>The study is managed by the National In</w:t>
      </w:r>
      <w:r w:rsidR="00417A51">
        <w:t xml:space="preserve">stitute of Academic Anaesthesia </w:t>
      </w:r>
      <w:r>
        <w:t>Health Services Research Centre (NIAA</w:t>
      </w:r>
      <w:r w:rsidR="00417A51">
        <w:t xml:space="preserve"> </w:t>
      </w:r>
      <w:r>
        <w:t>HSRC) in conjunction with the UCL/UCLH Surgical Outcomes Research Centre (SOuRCe).</w:t>
      </w:r>
    </w:p>
    <w:p w:rsidR="003D09C1" w:rsidRDefault="003D09C1" w:rsidP="003D09C1">
      <w:pPr>
        <w:pStyle w:val="Heading1"/>
      </w:pPr>
      <w:r>
        <w:t>Study Design</w:t>
      </w:r>
    </w:p>
    <w:p w:rsidR="003D09C1" w:rsidRDefault="003D09C1" w:rsidP="003D09C1">
      <w:r>
        <w:t xml:space="preserve">SNAP-2: EpiCCS will be a prospective observational cohort study recruiting patients for one week in March 2017. It has </w:t>
      </w:r>
      <w:r w:rsidR="00BC3B80" w:rsidRPr="00BC3B80">
        <w:rPr>
          <w:b/>
        </w:rPr>
        <w:t>two</w:t>
      </w:r>
      <w:r>
        <w:t xml:space="preserve"> principle components:</w:t>
      </w:r>
    </w:p>
    <w:p w:rsidR="003D09C1" w:rsidRDefault="003D09C1" w:rsidP="003D09C1">
      <w:pPr>
        <w:pStyle w:val="Heading2"/>
        <w:ind w:left="720"/>
      </w:pPr>
      <w:r>
        <w:t>Main EPICCS patient study</w:t>
      </w:r>
      <w:r w:rsidR="00675E40">
        <w:t xml:space="preserve"> (</w:t>
      </w:r>
      <w:r w:rsidR="00675E40" w:rsidRPr="00675E40">
        <w:t>Tuesday 21</w:t>
      </w:r>
      <w:r w:rsidR="00675E40" w:rsidRPr="00675E40">
        <w:rPr>
          <w:vertAlign w:val="superscript"/>
        </w:rPr>
        <w:t>st</w:t>
      </w:r>
      <w:r w:rsidR="00675E40" w:rsidRPr="00675E40">
        <w:t xml:space="preserve"> March 2017 – Monday 27</w:t>
      </w:r>
      <w:r w:rsidR="00675E40" w:rsidRPr="00675E40">
        <w:rPr>
          <w:vertAlign w:val="superscript"/>
        </w:rPr>
        <w:t>th</w:t>
      </w:r>
      <w:r w:rsidR="00675E40" w:rsidRPr="00675E40">
        <w:t xml:space="preserve"> March 2017</w:t>
      </w:r>
      <w:r w:rsidR="00675E40">
        <w:t>)</w:t>
      </w:r>
    </w:p>
    <w:p w:rsidR="003D09C1" w:rsidRDefault="003D09C1" w:rsidP="003D09C1">
      <w:pPr>
        <w:ind w:left="720"/>
      </w:pPr>
      <w:r>
        <w:t xml:space="preserve">All patients undergoing inpatient surgery (elective or emergency) during the study week will be enrolled onto the main EPICCS study. </w:t>
      </w:r>
      <w:r w:rsidR="00675E40">
        <w:t>We will collect perioperative risk data for these patients and follow-up data on morbidity and mortality.</w:t>
      </w:r>
    </w:p>
    <w:p w:rsidR="003D09C1" w:rsidRDefault="00675E40" w:rsidP="003D09C1">
      <w:pPr>
        <w:pStyle w:val="Heading2"/>
        <w:ind w:left="720"/>
      </w:pPr>
      <w:r>
        <w:t>Clinicians sub-study (Any time during the study)</w:t>
      </w:r>
    </w:p>
    <w:p w:rsidR="003D09C1" w:rsidRDefault="003D09C1" w:rsidP="003D09C1">
      <w:pPr>
        <w:ind w:left="720"/>
      </w:pPr>
      <w:r>
        <w:t xml:space="preserve">All anaesthetists and surgeons who undertake perioperative care for inpatient surgery during the study period will be invited to participate. If they decline, they will be asked to provide the reason why. If they agree and complete the questionnaire, this will be taken as evidence of implied consent. </w:t>
      </w:r>
    </w:p>
    <w:p w:rsidR="003D09C1" w:rsidRDefault="003D09C1" w:rsidP="003D09C1">
      <w:pPr>
        <w:ind w:left="720"/>
      </w:pPr>
      <w:r>
        <w:t>Additionally, an organisational questionnaire for each hospital will be completed to describe structure and process in those institutions,</w:t>
      </w:r>
      <w:r w:rsidR="00BC3B80">
        <w:t xml:space="preserve"> the number of surgical cases cancelled for any reason,</w:t>
      </w:r>
      <w:r>
        <w:t xml:space="preserve"> and critical care unit occupancy at regular time-intervals throughout the one-week data collection period.</w:t>
      </w:r>
    </w:p>
    <w:p w:rsidR="00BC3B80" w:rsidRDefault="00BC3B80" w:rsidP="00BC3B80">
      <w:pPr>
        <w:pStyle w:val="Heading1"/>
      </w:pPr>
      <w:r>
        <w:t>NIHR Portfolio adoption</w:t>
      </w:r>
    </w:p>
    <w:p w:rsidR="00BC3B80" w:rsidRDefault="00BC3B80" w:rsidP="00BC3B80">
      <w:r>
        <w:t>The study has been adopted onto the NIHR Portfolio (</w:t>
      </w:r>
      <w:r w:rsidRPr="004F3B5B">
        <w:rPr>
          <w:u w:val="single"/>
        </w:rPr>
        <w:t>CPMS ID: 31913</w:t>
      </w:r>
      <w:r>
        <w:t xml:space="preserve">). Importantly, </w:t>
      </w:r>
      <w:r w:rsidRPr="00BC3B80">
        <w:t xml:space="preserve">the NIHR has confirmed that because of our 'opt-out' methodology, all patients included in SNAP-2 will count towards accruals locally, even though they are not providing written consent. All hospital staff members who complete the 'clinician perceptions' sub-study will also count towards NIHR accruals. </w:t>
      </w:r>
    </w:p>
    <w:p w:rsidR="003D09C1" w:rsidRDefault="003D09C1" w:rsidP="00BC3B80">
      <w:pPr>
        <w:pStyle w:val="Heading1"/>
      </w:pPr>
      <w:r>
        <w:t>To participate</w:t>
      </w:r>
    </w:p>
    <w:p w:rsidR="003D09C1" w:rsidRPr="003D09C1" w:rsidRDefault="003D09C1" w:rsidP="003D09C1">
      <w:r>
        <w:t>At the moment we have</w:t>
      </w:r>
      <w:r w:rsidR="00FB6952">
        <w:t xml:space="preserve"> over 200</w:t>
      </w:r>
      <w:r w:rsidR="00154855">
        <w:t xml:space="preserve"> hospital</w:t>
      </w:r>
      <w:r>
        <w:t xml:space="preserve"> sites in England, Scotland, Wales and Northern Ireland who have registered to take part. If you would like more information about the study, please go to our website: </w:t>
      </w:r>
      <w:hyperlink r:id="rId7" w:history="1">
        <w:r w:rsidRPr="00C870CC">
          <w:rPr>
            <w:rStyle w:val="Hyperlink"/>
          </w:rPr>
          <w:t>http://www.niaa-hsrc.org.uk/SNAP-2-EpiCCS</w:t>
        </w:r>
      </w:hyperlink>
      <w:r>
        <w:t xml:space="preserve">. If you would like to find out who the Principal Investigator is in your hospital, or if you are a potential a PI and would like to register your hospital for the study, please email us: </w:t>
      </w:r>
      <w:hyperlink r:id="rId8" w:history="1">
        <w:r w:rsidRPr="00C870CC">
          <w:rPr>
            <w:rStyle w:val="Hyperlink"/>
          </w:rPr>
          <w:t>snap2@rcoa.ac.uk</w:t>
        </w:r>
      </w:hyperlink>
      <w:r>
        <w:t xml:space="preserve">. </w:t>
      </w:r>
    </w:p>
    <w:sectPr w:rsidR="003D09C1" w:rsidRPr="003D09C1" w:rsidSect="00BC3B80">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829" w:rsidRDefault="004B2829" w:rsidP="003D09C1">
      <w:pPr>
        <w:spacing w:after="0" w:line="240" w:lineRule="auto"/>
      </w:pPr>
      <w:r>
        <w:separator/>
      </w:r>
    </w:p>
  </w:endnote>
  <w:endnote w:type="continuationSeparator" w:id="0">
    <w:p w:rsidR="004B2829" w:rsidRDefault="004B2829" w:rsidP="003D0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829" w:rsidRDefault="004B2829" w:rsidP="003D09C1">
      <w:pPr>
        <w:spacing w:after="0" w:line="240" w:lineRule="auto"/>
      </w:pPr>
      <w:r>
        <w:separator/>
      </w:r>
    </w:p>
  </w:footnote>
  <w:footnote w:type="continuationSeparator" w:id="0">
    <w:p w:rsidR="004B2829" w:rsidRDefault="004B2829" w:rsidP="003D09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9C1" w:rsidRPr="00BC3B80" w:rsidRDefault="00BC3B80" w:rsidP="00BC3B80">
    <w:r w:rsidRPr="001F6CD1">
      <w:rPr>
        <w:noProof/>
        <w:color w:val="000000" w:themeColor="text1"/>
        <w:sz w:val="36"/>
        <w:szCs w:val="36"/>
        <w:lang w:eastAsia="en-GB"/>
      </w:rPr>
      <w:drawing>
        <wp:inline distT="0" distB="0" distL="0" distR="0" wp14:anchorId="66BAE81A" wp14:editId="2B670AA8">
          <wp:extent cx="2221276" cy="5448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2 Logo - banner.png"/>
                  <pic:cNvPicPr/>
                </pic:nvPicPr>
                <pic:blipFill>
                  <a:blip r:embed="rId1">
                    <a:extLst>
                      <a:ext uri="{28A0092B-C50C-407E-A947-70E740481C1C}">
                        <a14:useLocalDpi xmlns:a14="http://schemas.microsoft.com/office/drawing/2010/main" val="0"/>
                      </a:ext>
                    </a:extLst>
                  </a:blip>
                  <a:stretch>
                    <a:fillRect/>
                  </a:stretch>
                </pic:blipFill>
                <pic:spPr>
                  <a:xfrm>
                    <a:off x="0" y="0"/>
                    <a:ext cx="2223020" cy="545258"/>
                  </a:xfrm>
                  <a:prstGeom prst="rect">
                    <a:avLst/>
                  </a:prstGeom>
                </pic:spPr>
              </pic:pic>
            </a:graphicData>
          </a:graphic>
        </wp:inline>
      </w:drawing>
    </w:r>
    <w:r w:rsidRPr="001F6CD1">
      <w:rPr>
        <w:noProof/>
        <w:color w:val="000000" w:themeColor="text1"/>
        <w:sz w:val="36"/>
        <w:szCs w:val="36"/>
        <w:lang w:eastAsia="en-GB"/>
      </w:rPr>
      <w:drawing>
        <wp:inline distT="0" distB="0" distL="0" distR="0" wp14:anchorId="2B10A760" wp14:editId="38F1C745">
          <wp:extent cx="1778000" cy="424832"/>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AA HSRC.jpg"/>
                  <pic:cNvPicPr/>
                </pic:nvPicPr>
                <pic:blipFill>
                  <a:blip r:embed="rId2">
                    <a:extLst>
                      <a:ext uri="{28A0092B-C50C-407E-A947-70E740481C1C}">
                        <a14:useLocalDpi xmlns:a14="http://schemas.microsoft.com/office/drawing/2010/main" val="0"/>
                      </a:ext>
                    </a:extLst>
                  </a:blip>
                  <a:stretch>
                    <a:fillRect/>
                  </a:stretch>
                </pic:blipFill>
                <pic:spPr>
                  <a:xfrm>
                    <a:off x="0" y="0"/>
                    <a:ext cx="1778181" cy="424875"/>
                  </a:xfrm>
                  <a:prstGeom prst="rect">
                    <a:avLst/>
                  </a:prstGeom>
                </pic:spPr>
              </pic:pic>
            </a:graphicData>
          </a:graphic>
        </wp:inline>
      </w:drawing>
    </w:r>
    <w:r>
      <w:t xml:space="preserve">   </w:t>
    </w:r>
    <w:r>
      <w:rPr>
        <w:noProof/>
        <w:lang w:eastAsia="en-GB"/>
      </w:rPr>
      <w:drawing>
        <wp:inline distT="0" distB="0" distL="0" distR="0" wp14:anchorId="2E768127" wp14:editId="13457BE7">
          <wp:extent cx="914400" cy="42291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CoA-rgb-purple.jpg"/>
                  <pic:cNvPicPr/>
                </pic:nvPicPr>
                <pic:blipFill>
                  <a:blip r:embed="rId3"/>
                  <a:stretch>
                    <a:fillRect/>
                  </a:stretch>
                </pic:blipFill>
                <pic:spPr>
                  <a:xfrm>
                    <a:off x="0" y="0"/>
                    <a:ext cx="914400" cy="422910"/>
                  </a:xfrm>
                  <a:prstGeom prst="rect">
                    <a:avLst/>
                  </a:prstGeom>
                </pic:spPr>
              </pic:pic>
            </a:graphicData>
          </a:graphic>
        </wp:inline>
      </w:drawing>
    </w:r>
    <w:r>
      <w:t xml:space="preserve">   </w:t>
    </w:r>
    <w:r>
      <w:rPr>
        <w:noProof/>
        <w:lang w:eastAsia="en-GB"/>
      </w:rPr>
      <w:drawing>
        <wp:inline distT="0" distB="0" distL="0" distR="0" wp14:anchorId="6BAF1260" wp14:editId="3660D553">
          <wp:extent cx="1155700" cy="558171"/>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AGBI.png"/>
                  <pic:cNvPicPr/>
                </pic:nvPicPr>
                <pic:blipFill>
                  <a:blip r:embed="rId4"/>
                  <a:stretch>
                    <a:fillRect/>
                  </a:stretch>
                </pic:blipFill>
                <pic:spPr>
                  <a:xfrm>
                    <a:off x="0" y="0"/>
                    <a:ext cx="1216222" cy="5874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9C1"/>
    <w:rsid w:val="00154855"/>
    <w:rsid w:val="00167488"/>
    <w:rsid w:val="0028558F"/>
    <w:rsid w:val="0030116B"/>
    <w:rsid w:val="003D09C1"/>
    <w:rsid w:val="00417A51"/>
    <w:rsid w:val="00481800"/>
    <w:rsid w:val="004B2829"/>
    <w:rsid w:val="004F3B5B"/>
    <w:rsid w:val="00561617"/>
    <w:rsid w:val="00675E40"/>
    <w:rsid w:val="008A4CFF"/>
    <w:rsid w:val="009820AF"/>
    <w:rsid w:val="009A34D2"/>
    <w:rsid w:val="00BC3B80"/>
    <w:rsid w:val="00C5780C"/>
    <w:rsid w:val="00FB6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09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D09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9C1"/>
  </w:style>
  <w:style w:type="paragraph" w:styleId="Footer">
    <w:name w:val="footer"/>
    <w:basedOn w:val="Normal"/>
    <w:link w:val="FooterChar"/>
    <w:uiPriority w:val="99"/>
    <w:unhideWhenUsed/>
    <w:rsid w:val="003D0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9C1"/>
  </w:style>
  <w:style w:type="character" w:customStyle="1" w:styleId="Heading1Char">
    <w:name w:val="Heading 1 Char"/>
    <w:basedOn w:val="DefaultParagraphFont"/>
    <w:link w:val="Heading1"/>
    <w:uiPriority w:val="9"/>
    <w:rsid w:val="003D09C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D09C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D09C1"/>
    <w:rPr>
      <w:color w:val="0563C1" w:themeColor="hyperlink"/>
      <w:u w:val="single"/>
    </w:rPr>
  </w:style>
  <w:style w:type="paragraph" w:styleId="BalloonText">
    <w:name w:val="Balloon Text"/>
    <w:basedOn w:val="Normal"/>
    <w:link w:val="BalloonTextChar"/>
    <w:uiPriority w:val="99"/>
    <w:semiHidden/>
    <w:unhideWhenUsed/>
    <w:rsid w:val="00982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09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D09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9C1"/>
  </w:style>
  <w:style w:type="paragraph" w:styleId="Footer">
    <w:name w:val="footer"/>
    <w:basedOn w:val="Normal"/>
    <w:link w:val="FooterChar"/>
    <w:uiPriority w:val="99"/>
    <w:unhideWhenUsed/>
    <w:rsid w:val="003D0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9C1"/>
  </w:style>
  <w:style w:type="character" w:customStyle="1" w:styleId="Heading1Char">
    <w:name w:val="Heading 1 Char"/>
    <w:basedOn w:val="DefaultParagraphFont"/>
    <w:link w:val="Heading1"/>
    <w:uiPriority w:val="9"/>
    <w:rsid w:val="003D09C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D09C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D09C1"/>
    <w:rPr>
      <w:color w:val="0563C1" w:themeColor="hyperlink"/>
      <w:u w:val="single"/>
    </w:rPr>
  </w:style>
  <w:style w:type="paragraph" w:styleId="BalloonText">
    <w:name w:val="Balloon Text"/>
    <w:basedOn w:val="Normal"/>
    <w:link w:val="BalloonTextChar"/>
    <w:uiPriority w:val="99"/>
    <w:semiHidden/>
    <w:unhideWhenUsed/>
    <w:rsid w:val="00982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ap2@rcoa.ac.uk" TargetMode="External"/><Relationship Id="rId3" Type="http://schemas.openxmlformats.org/officeDocument/2006/relationships/settings" Target="settings.xml"/><Relationship Id="rId7" Type="http://schemas.openxmlformats.org/officeDocument/2006/relationships/hyperlink" Target="http://www.niaa-hsrc.org.uk/SNAP-2-EpiCC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2788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dc:creator>
  <cp:lastModifiedBy>Laura Farmer</cp:lastModifiedBy>
  <cp:revision>2</cp:revision>
  <dcterms:created xsi:type="dcterms:W3CDTF">2017-02-17T10:58:00Z</dcterms:created>
  <dcterms:modified xsi:type="dcterms:W3CDTF">2017-02-17T10:58:00Z</dcterms:modified>
</cp:coreProperties>
</file>